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5464A" w14:textId="0010CE40" w:rsidR="00896FA4" w:rsidRPr="000851F5" w:rsidRDefault="00896FA4" w:rsidP="00896FA4">
      <w:pPr>
        <w:tabs>
          <w:tab w:val="left" w:pos="2160"/>
        </w:tabs>
        <w:rPr>
          <w:rFonts w:ascii="Arial" w:hAnsi="Arial" w:cs="Arial"/>
          <w:b/>
          <w:bCs/>
          <w:noProof/>
          <w:sz w:val="24"/>
          <w:szCs w:val="24"/>
          <w:lang w:val="en-US"/>
        </w:rPr>
      </w:pPr>
      <w:bookmarkStart w:id="0" w:name="Title"/>
      <w:bookmarkStart w:id="1" w:name="DocumentFor"/>
      <w:bookmarkStart w:id="2" w:name="_Hlk3548187"/>
      <w:bookmarkEnd w:id="0"/>
      <w:bookmarkEnd w:id="1"/>
      <w:r w:rsidRPr="000851F5">
        <w:rPr>
          <w:rFonts w:ascii="Arial" w:hAnsi="Arial" w:cs="Arial"/>
          <w:b/>
          <w:bCs/>
          <w:noProof/>
          <w:sz w:val="24"/>
          <w:szCs w:val="24"/>
          <w:lang w:val="en-US"/>
        </w:rPr>
        <w:t>3GPP TSG-RAN WG4 Meeting # 106</w:t>
      </w:r>
      <w:r w:rsidRPr="000851F5">
        <w:rPr>
          <w:rFonts w:ascii="Arial" w:hAnsi="Arial" w:cs="Arial"/>
          <w:b/>
          <w:bCs/>
          <w:noProof/>
          <w:sz w:val="24"/>
          <w:szCs w:val="24"/>
          <w:lang w:val="en-US"/>
        </w:rPr>
        <w:tab/>
      </w:r>
      <w:r w:rsidRPr="000851F5">
        <w:rPr>
          <w:rFonts w:ascii="Arial" w:hAnsi="Arial" w:cs="Arial"/>
          <w:b/>
          <w:bCs/>
          <w:noProof/>
          <w:sz w:val="24"/>
          <w:szCs w:val="24"/>
          <w:lang w:val="en-US"/>
        </w:rPr>
        <w:tab/>
      </w:r>
      <w:r w:rsidRPr="000851F5">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sidRPr="000851F5">
        <w:rPr>
          <w:rFonts w:ascii="Arial" w:hAnsi="Arial" w:cs="Arial"/>
          <w:b/>
          <w:bCs/>
          <w:noProof/>
          <w:sz w:val="24"/>
          <w:szCs w:val="24"/>
          <w:lang w:val="en-US"/>
        </w:rPr>
        <w:t>R4-</w:t>
      </w:r>
      <w:r w:rsidR="00E076D6">
        <w:rPr>
          <w:rFonts w:ascii="Arial" w:hAnsi="Arial" w:cs="Arial"/>
          <w:b/>
          <w:bCs/>
          <w:noProof/>
          <w:sz w:val="24"/>
          <w:szCs w:val="24"/>
          <w:lang w:val="en-US"/>
        </w:rPr>
        <w:t>2300914</w:t>
      </w:r>
      <w:bookmarkStart w:id="3" w:name="_GoBack"/>
      <w:bookmarkEnd w:id="3"/>
    </w:p>
    <w:p w14:paraId="28D667B7"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Athens, Greece, February 27 – March 3, 2022</w:t>
      </w:r>
    </w:p>
    <w:p w14:paraId="4455A15C" w14:textId="095E37E9"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DE5D68">
        <w:rPr>
          <w:rFonts w:ascii="Arial" w:hAnsi="Arial" w:cs="Arial"/>
          <w:b/>
          <w:bCs/>
          <w:noProof/>
          <w:sz w:val="24"/>
          <w:szCs w:val="24"/>
          <w:lang w:val="en-US"/>
        </w:rPr>
        <w:t>9.8.3.</w:t>
      </w:r>
      <w:r w:rsidR="00C50039">
        <w:rPr>
          <w:rFonts w:ascii="Arial" w:hAnsi="Arial" w:cs="Arial"/>
          <w:b/>
          <w:bCs/>
          <w:noProof/>
          <w:sz w:val="24"/>
          <w:szCs w:val="24"/>
          <w:lang w:val="en-US"/>
        </w:rPr>
        <w:t>6</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32980A11" w14:textId="2460B799" w:rsidR="00C50039"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DE5D68">
        <w:rPr>
          <w:rFonts w:ascii="Arial" w:hAnsi="Arial" w:cs="Arial"/>
          <w:b/>
          <w:bCs/>
          <w:noProof/>
          <w:sz w:val="24"/>
          <w:szCs w:val="24"/>
          <w:lang w:val="en-US"/>
        </w:rPr>
        <w:t>o</w:t>
      </w:r>
      <w:r w:rsidR="00DE5D68" w:rsidRPr="00DE5D68">
        <w:rPr>
          <w:rFonts w:ascii="Arial" w:hAnsi="Arial" w:cs="Arial"/>
          <w:b/>
          <w:bCs/>
          <w:noProof/>
          <w:sz w:val="24"/>
          <w:szCs w:val="24"/>
          <w:lang w:val="en-US"/>
        </w:rPr>
        <w:t xml:space="preserve">n the </w:t>
      </w:r>
      <w:r w:rsidR="00C50039">
        <w:rPr>
          <w:rFonts w:ascii="Arial" w:hAnsi="Arial" w:cs="Arial"/>
          <w:b/>
          <w:bCs/>
          <w:noProof/>
          <w:sz w:val="24"/>
          <w:szCs w:val="24"/>
          <w:lang w:val="en-US"/>
        </w:rPr>
        <w:t>RTD with different directions</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14FCA77D" w:rsidR="0068666A" w:rsidRPr="00C15E1D" w:rsidRDefault="00C120F0" w:rsidP="00C120F0">
      <w:pPr>
        <w:jc w:val="both"/>
      </w:pPr>
      <w:r>
        <w:t xml:space="preserve">During the </w:t>
      </w:r>
      <w:r w:rsidR="00770722">
        <w:t>RAN</w:t>
      </w:r>
      <w:r w:rsidR="000E6211">
        <w:t>4</w:t>
      </w:r>
      <w:r w:rsidR="00770722">
        <w:t>#</w:t>
      </w:r>
      <w:r w:rsidR="00EF39CF">
        <w:t xml:space="preserve">105 meeting discussion, </w:t>
      </w:r>
      <w:r w:rsidR="00524A17">
        <w:t>the RTD issue has been discussed with no much progress. During the Rel-18 MIMO-e discussion, the two TAs for two TRPs has been introduced and corresponding MRTD and MTTD requirements has been discussed in another agenda. Hence in this paper we try to give further discussion on this topic.</w:t>
      </w:r>
    </w:p>
    <w:p w14:paraId="0BE719C5" w14:textId="46524AEC" w:rsidR="003F35DF" w:rsidRDefault="00895B09" w:rsidP="0090394E">
      <w:pPr>
        <w:pStyle w:val="1"/>
        <w:numPr>
          <w:ilvl w:val="0"/>
          <w:numId w:val="2"/>
        </w:numPr>
      </w:pPr>
      <w:r>
        <w:t>Discussion</w:t>
      </w:r>
    </w:p>
    <w:p w14:paraId="24BB9D7A" w14:textId="486760D5" w:rsidR="00C86C24" w:rsidRDefault="00524A17" w:rsidP="004D6EDF">
      <w:pPr>
        <w:rPr>
          <w:rFonts w:eastAsiaTheme="minorEastAsia"/>
          <w:lang w:eastAsia="zh-CN"/>
        </w:rPr>
      </w:pPr>
      <w:r>
        <w:rPr>
          <w:rFonts w:eastAsiaTheme="minorEastAsia"/>
          <w:lang w:eastAsia="zh-CN"/>
        </w:rPr>
        <w:t>There is no agreement on the RTD issue while in the WF [1] the issue is captured in the summary [2</w:t>
      </w:r>
      <w:r w:rsidR="00B35318">
        <w:rPr>
          <w:rFonts w:eastAsiaTheme="minorEastAsia"/>
          <w:lang w:eastAsia="zh-CN"/>
        </w:rPr>
        <w:t>]. Whether the MRTD can be larger than CP has been discussed for many meetings. As pointed in our previous discussion, the within CP assumption is kept till Rel-17 based on the FeMIMO discussion. Currently in Rel-18 MIMO-e WID, the two TA enhancement and correspondingly larger than CP RTD has been discussed and agreed in RAN1. The agreement is captured as below from [3] :</w:t>
      </w:r>
    </w:p>
    <w:p w14:paraId="20B2F81E" w14:textId="16FD6951" w:rsidR="00D066E1" w:rsidRDefault="00B35318" w:rsidP="004D6EDF">
      <w:pPr>
        <w:rPr>
          <w:rFonts w:eastAsiaTheme="minorEastAsia"/>
          <w:lang w:eastAsia="zh-CN"/>
        </w:rPr>
      </w:pPr>
      <w:r w:rsidRPr="00B35318">
        <w:rPr>
          <w:rFonts w:eastAsiaTheme="minorEastAsia"/>
          <w:noProof/>
          <w:lang w:val="en-US" w:eastAsia="zh-CN"/>
        </w:rPr>
        <mc:AlternateContent>
          <mc:Choice Requires="wps">
            <w:drawing>
              <wp:inline distT="0" distB="0" distL="0" distR="0" wp14:anchorId="64987150" wp14:editId="3F4CB882">
                <wp:extent cx="6322263" cy="1957826"/>
                <wp:effectExtent l="0" t="0" r="2159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263" cy="1957826"/>
                        </a:xfrm>
                        <a:prstGeom prst="rect">
                          <a:avLst/>
                        </a:prstGeom>
                        <a:solidFill>
                          <a:srgbClr val="FFFFFF"/>
                        </a:solidFill>
                        <a:ln w="9525">
                          <a:solidFill>
                            <a:srgbClr val="000000"/>
                          </a:solidFill>
                          <a:miter lim="800000"/>
                          <a:headEnd/>
                          <a:tailEnd/>
                        </a:ln>
                      </wps:spPr>
                      <wps:txbx>
                        <w:txbxContent>
                          <w:p w14:paraId="0586C547" w14:textId="0D93F6CD" w:rsidR="00B35318" w:rsidRPr="00AE0288" w:rsidRDefault="00B35318" w:rsidP="00B35318">
                            <w:pPr>
                              <w:rPr>
                                <w:highlight w:val="green"/>
                              </w:rPr>
                            </w:pPr>
                            <w:r>
                              <w:rPr>
                                <w:highlight w:val="green"/>
                              </w:rPr>
                              <w:t>Agreement</w:t>
                            </w:r>
                          </w:p>
                          <w:p w14:paraId="1E4AE25A" w14:textId="77777777" w:rsidR="00B35318" w:rsidRPr="00AE0288" w:rsidRDefault="00B35318" w:rsidP="00B35318">
                            <w:r w:rsidRPr="00AE0288">
                              <w:t>For multi-DCI multi-TRP operation with two TAs in a CC, two DL reference timings are supported where each DL reference timing is associated with one TAG</w:t>
                            </w:r>
                          </w:p>
                          <w:p w14:paraId="39DA5AF5" w14:textId="77777777" w:rsidR="00B35318" w:rsidRPr="00AE0288" w:rsidRDefault="00B35318" w:rsidP="00B35318">
                            <w:pPr>
                              <w:pStyle w:val="afa"/>
                              <w:numPr>
                                <w:ilvl w:val="0"/>
                                <w:numId w:val="4"/>
                              </w:numPr>
                              <w:overflowPunct w:val="0"/>
                              <w:autoSpaceDE w:val="0"/>
                              <w:autoSpaceDN w:val="0"/>
                              <w:adjustRightInd w:val="0"/>
                              <w:spacing w:after="180"/>
                              <w:contextualSpacing/>
                              <w:textAlignment w:val="baseline"/>
                              <w:rPr>
                                <w:lang w:eastAsia="x-none"/>
                              </w:rPr>
                            </w:pPr>
                            <w:r w:rsidRPr="00AE0288">
                              <w:rPr>
                                <w:lang w:eastAsia="x-none"/>
                              </w:rPr>
                              <w:t xml:space="preserve">baseline assumption is that the Rx timing difference between the two DL reference timings is no larger than CP length </w:t>
                            </w:r>
                          </w:p>
                          <w:p w14:paraId="08E02EB1" w14:textId="77777777" w:rsidR="00B35318" w:rsidRPr="00AE0288" w:rsidRDefault="00B35318" w:rsidP="00B35318">
                            <w:pPr>
                              <w:pStyle w:val="afa"/>
                              <w:numPr>
                                <w:ilvl w:val="0"/>
                                <w:numId w:val="4"/>
                              </w:numPr>
                              <w:overflowPunct w:val="0"/>
                              <w:autoSpaceDE w:val="0"/>
                              <w:autoSpaceDN w:val="0"/>
                              <w:adjustRightInd w:val="0"/>
                              <w:spacing w:after="180"/>
                              <w:contextualSpacing/>
                              <w:textAlignment w:val="baseline"/>
                              <w:rPr>
                                <w:lang w:eastAsia="x-none"/>
                              </w:rPr>
                            </w:pPr>
                            <w:r w:rsidRPr="00AE0288">
                              <w:rPr>
                                <w:lang w:eastAsia="x-none"/>
                              </w:rPr>
                              <w:t>as an optional UE capability, Rx timing difference between the two DL reference timings can be assumed to be larger than CP length</w:t>
                            </w:r>
                          </w:p>
                          <w:p w14:paraId="1B6BECEF" w14:textId="77777777" w:rsidR="00B35318" w:rsidRPr="00AE0288" w:rsidRDefault="00B35318" w:rsidP="00B35318">
                            <w:pPr>
                              <w:pStyle w:val="afa"/>
                              <w:numPr>
                                <w:ilvl w:val="1"/>
                                <w:numId w:val="4"/>
                              </w:numPr>
                              <w:overflowPunct w:val="0"/>
                              <w:autoSpaceDE w:val="0"/>
                              <w:autoSpaceDN w:val="0"/>
                              <w:adjustRightInd w:val="0"/>
                              <w:spacing w:after="180"/>
                              <w:contextualSpacing/>
                              <w:textAlignment w:val="baseline"/>
                              <w:rPr>
                                <w:lang w:eastAsia="x-none"/>
                              </w:rPr>
                            </w:pPr>
                            <w:r w:rsidRPr="00AE0288">
                              <w:rPr>
                                <w:lang w:eastAsia="x-none"/>
                              </w:rPr>
                              <w:t>FFS: the maximum Rx timing difference (could be up to RAN4)</w:t>
                            </w:r>
                          </w:p>
                          <w:p w14:paraId="166D3BE2" w14:textId="77777777" w:rsidR="00B35318" w:rsidRPr="00AE0288" w:rsidRDefault="00B35318" w:rsidP="00B35318">
                            <w:pPr>
                              <w:pStyle w:val="afa"/>
                              <w:numPr>
                                <w:ilvl w:val="1"/>
                                <w:numId w:val="4"/>
                              </w:numPr>
                              <w:overflowPunct w:val="0"/>
                              <w:autoSpaceDE w:val="0"/>
                              <w:autoSpaceDN w:val="0"/>
                              <w:adjustRightInd w:val="0"/>
                              <w:spacing w:after="180"/>
                              <w:contextualSpacing/>
                              <w:textAlignment w:val="baseline"/>
                              <w:rPr>
                                <w:lang w:eastAsia="x-none"/>
                              </w:rPr>
                            </w:pPr>
                            <w:r w:rsidRPr="00AE0288">
                              <w:rPr>
                                <w:lang w:eastAsia="x-none"/>
                              </w:rPr>
                              <w:t>Other than UE capability details and relevant configuration, no additional RAN1 specification enhancement specific for this case is expected</w:t>
                            </w:r>
                          </w:p>
                          <w:p w14:paraId="788B670D" w14:textId="4A0A70BE" w:rsidR="00B35318" w:rsidRDefault="00B35318"/>
                        </w:txbxContent>
                      </wps:txbx>
                      <wps:bodyPr rot="0" vert="horz" wrap="square" lIns="91440" tIns="45720" rIns="91440" bIns="45720" anchor="t" anchorCtr="0">
                        <a:noAutofit/>
                      </wps:bodyPr>
                    </wps:wsp>
                  </a:graphicData>
                </a:graphic>
              </wp:inline>
            </w:drawing>
          </mc:Choice>
          <mc:Fallback>
            <w:pict>
              <v:shapetype w14:anchorId="64987150" id="_x0000_t202" coordsize="21600,21600" o:spt="202" path="m,l,21600r21600,l21600,xe">
                <v:stroke joinstyle="miter"/>
                <v:path gradientshapeok="t" o:connecttype="rect"/>
              </v:shapetype>
              <v:shape id="文本框 2" o:spid="_x0000_s1026" type="#_x0000_t202" style="width:497.8pt;height:15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">
                <v:textbox>
                  <w:txbxContent>
                    <w:p w14:paraId="0586C547" w14:textId="0D93F6CD" w:rsidR="00B35318" w:rsidRPr="00AE0288" w:rsidRDefault="00B35318" w:rsidP="00B35318">
                      <w:pPr>
                        <w:rPr>
                          <w:highlight w:val="green"/>
                        </w:rPr>
                      </w:pPr>
                      <w:r>
                        <w:rPr>
                          <w:highlight w:val="green"/>
                        </w:rPr>
                        <w:t>Agreement</w:t>
                      </w:r>
                    </w:p>
                    <w:p w14:paraId="1E4AE25A" w14:textId="77777777" w:rsidR="00B35318" w:rsidRPr="00AE0288" w:rsidRDefault="00B35318" w:rsidP="00B35318">
                      <w:r w:rsidRPr="00AE0288">
                        <w:t>For multi-DCI multi-TRP operation with two TAs in a CC, two DL reference timings are supported where each DL reference timing is associated with one TAG</w:t>
                      </w:r>
                    </w:p>
                    <w:p w14:paraId="39DA5AF5" w14:textId="77777777" w:rsidR="00B35318" w:rsidRPr="00AE0288" w:rsidRDefault="00B35318" w:rsidP="00B35318">
                      <w:pPr>
                        <w:pStyle w:val="afa"/>
                        <w:numPr>
                          <w:ilvl w:val="0"/>
                          <w:numId w:val="4"/>
                        </w:numPr>
                        <w:overflowPunct w:val="0"/>
                        <w:autoSpaceDE w:val="0"/>
                        <w:autoSpaceDN w:val="0"/>
                        <w:adjustRightInd w:val="0"/>
                        <w:spacing w:after="180"/>
                        <w:contextualSpacing/>
                        <w:textAlignment w:val="baseline"/>
                        <w:rPr>
                          <w:lang w:eastAsia="x-none"/>
                        </w:rPr>
                      </w:pPr>
                      <w:r w:rsidRPr="00AE0288">
                        <w:rPr>
                          <w:lang w:eastAsia="x-none"/>
                        </w:rPr>
                        <w:t xml:space="preserve">baseline assumption is that the Rx timing difference between the two DL reference timings is no larger than CP length </w:t>
                      </w:r>
                    </w:p>
                    <w:p w14:paraId="08E02EB1" w14:textId="77777777" w:rsidR="00B35318" w:rsidRPr="00AE0288" w:rsidRDefault="00B35318" w:rsidP="00B35318">
                      <w:pPr>
                        <w:pStyle w:val="afa"/>
                        <w:numPr>
                          <w:ilvl w:val="0"/>
                          <w:numId w:val="4"/>
                        </w:numPr>
                        <w:overflowPunct w:val="0"/>
                        <w:autoSpaceDE w:val="0"/>
                        <w:autoSpaceDN w:val="0"/>
                        <w:adjustRightInd w:val="0"/>
                        <w:spacing w:after="180"/>
                        <w:contextualSpacing/>
                        <w:textAlignment w:val="baseline"/>
                        <w:rPr>
                          <w:lang w:eastAsia="x-none"/>
                        </w:rPr>
                      </w:pPr>
                      <w:r w:rsidRPr="00AE0288">
                        <w:rPr>
                          <w:lang w:eastAsia="x-none"/>
                        </w:rPr>
                        <w:t>as an optional UE capability, Rx timing difference between the two DL reference timings can be assumed to be larger than CP length</w:t>
                      </w:r>
                    </w:p>
                    <w:p w14:paraId="1B6BECEF" w14:textId="77777777" w:rsidR="00B35318" w:rsidRPr="00AE0288" w:rsidRDefault="00B35318" w:rsidP="00B35318">
                      <w:pPr>
                        <w:pStyle w:val="afa"/>
                        <w:numPr>
                          <w:ilvl w:val="1"/>
                          <w:numId w:val="4"/>
                        </w:numPr>
                        <w:overflowPunct w:val="0"/>
                        <w:autoSpaceDE w:val="0"/>
                        <w:autoSpaceDN w:val="0"/>
                        <w:adjustRightInd w:val="0"/>
                        <w:spacing w:after="180"/>
                        <w:contextualSpacing/>
                        <w:textAlignment w:val="baseline"/>
                        <w:rPr>
                          <w:lang w:eastAsia="x-none"/>
                        </w:rPr>
                      </w:pPr>
                      <w:r w:rsidRPr="00AE0288">
                        <w:rPr>
                          <w:lang w:eastAsia="x-none"/>
                        </w:rPr>
                        <w:t>FFS: the maximum Rx timing difference (could be up to RAN4)</w:t>
                      </w:r>
                    </w:p>
                    <w:p w14:paraId="166D3BE2" w14:textId="77777777" w:rsidR="00B35318" w:rsidRPr="00AE0288" w:rsidRDefault="00B35318" w:rsidP="00B35318">
                      <w:pPr>
                        <w:pStyle w:val="afa"/>
                        <w:numPr>
                          <w:ilvl w:val="1"/>
                          <w:numId w:val="4"/>
                        </w:numPr>
                        <w:overflowPunct w:val="0"/>
                        <w:autoSpaceDE w:val="0"/>
                        <w:autoSpaceDN w:val="0"/>
                        <w:adjustRightInd w:val="0"/>
                        <w:spacing w:after="180"/>
                        <w:contextualSpacing/>
                        <w:textAlignment w:val="baseline"/>
                        <w:rPr>
                          <w:lang w:eastAsia="x-none"/>
                        </w:rPr>
                      </w:pPr>
                      <w:r w:rsidRPr="00AE0288">
                        <w:rPr>
                          <w:lang w:eastAsia="x-none"/>
                        </w:rPr>
                        <w:t>Other than UE capability details and relevant configuration, no additional RAN1 specification enhancement specific for this case is expected</w:t>
                      </w:r>
                    </w:p>
                    <w:p w14:paraId="788B670D" w14:textId="4A0A70BE" w:rsidR="00B35318" w:rsidRDefault="00B35318"/>
                  </w:txbxContent>
                </v:textbox>
                <w10:anchorlock/>
              </v:shape>
            </w:pict>
          </mc:Fallback>
        </mc:AlternateContent>
      </w:r>
    </w:p>
    <w:p w14:paraId="6EE646F6" w14:textId="1EE2F7DB" w:rsidR="008A4CE0" w:rsidRDefault="008A4CE0" w:rsidP="004D6EDF">
      <w:pPr>
        <w:rPr>
          <w:rFonts w:eastAsiaTheme="minorEastAsia"/>
          <w:lang w:eastAsia="zh-CN"/>
        </w:rPr>
      </w:pPr>
      <w:r>
        <w:rPr>
          <w:rFonts w:eastAsiaTheme="minorEastAsia"/>
          <w:lang w:eastAsia="zh-CN"/>
        </w:rPr>
        <w:t>It can be observed that the no larger than CP is still the baseline assumption. Furthermore, the larger the CP is currently an optional UE capability and RAN4 has discussed this issue in Rel-18 MIMO-e WID with another specific agenda item and an on-going LS between RAN1 and RAN4.</w:t>
      </w:r>
    </w:p>
    <w:p w14:paraId="044B4B6D" w14:textId="1E538DC9" w:rsidR="008A4CE0" w:rsidRPr="008A4CE0" w:rsidRDefault="008A4CE0" w:rsidP="004D6EDF">
      <w:pPr>
        <w:rPr>
          <w:rFonts w:eastAsiaTheme="minorEastAsia"/>
          <w:b/>
          <w:lang w:eastAsia="zh-CN"/>
        </w:rPr>
      </w:pPr>
      <w:r w:rsidRPr="008A4CE0">
        <w:rPr>
          <w:rFonts w:eastAsiaTheme="minorEastAsia"/>
          <w:b/>
          <w:lang w:eastAsia="zh-CN"/>
        </w:rPr>
        <w:t>Observation 1: No larger than CP is still the baseline assumption.</w:t>
      </w:r>
    </w:p>
    <w:p w14:paraId="06732127" w14:textId="57A70B34" w:rsidR="008A4CE0" w:rsidRPr="008A4CE0" w:rsidRDefault="008A4CE0" w:rsidP="004D6EDF">
      <w:pPr>
        <w:rPr>
          <w:rFonts w:eastAsiaTheme="minorEastAsia"/>
          <w:b/>
          <w:lang w:eastAsia="zh-CN"/>
        </w:rPr>
      </w:pPr>
      <w:r w:rsidRPr="008A4CE0">
        <w:rPr>
          <w:rFonts w:eastAsiaTheme="minorEastAsia"/>
          <w:b/>
          <w:lang w:eastAsia="zh-CN"/>
        </w:rPr>
        <w:t>Observation 2: The larger the CP is currently an optional UE capability.</w:t>
      </w:r>
    </w:p>
    <w:p w14:paraId="3E65A155" w14:textId="21E9839E" w:rsidR="008A4CE0" w:rsidRPr="008A4CE0" w:rsidRDefault="008A4CE0" w:rsidP="004D6EDF">
      <w:pPr>
        <w:rPr>
          <w:rFonts w:eastAsiaTheme="minorEastAsia"/>
          <w:b/>
          <w:lang w:eastAsia="zh-CN"/>
        </w:rPr>
      </w:pPr>
      <w:r w:rsidRPr="008A4CE0">
        <w:rPr>
          <w:rFonts w:eastAsiaTheme="minorEastAsia"/>
          <w:b/>
          <w:lang w:eastAsia="zh-CN"/>
        </w:rPr>
        <w:t>Observation 3: The Rel-18 MIMO-e WID is discussing this issue.</w:t>
      </w:r>
    </w:p>
    <w:p w14:paraId="166B0969" w14:textId="3F962B0D" w:rsidR="008A4CE0" w:rsidRDefault="008A4CE0" w:rsidP="004D6EDF">
      <w:pPr>
        <w:rPr>
          <w:rFonts w:eastAsiaTheme="minorEastAsia"/>
          <w:lang w:eastAsia="zh-CN"/>
        </w:rPr>
      </w:pPr>
      <w:r>
        <w:rPr>
          <w:rFonts w:eastAsiaTheme="minorEastAsia"/>
          <w:lang w:eastAsia="zh-CN"/>
        </w:rPr>
        <w:t>From our understanding, the multi-RX chain WID should be focused on the Rel-17 features since there are quite a lot Rel-18 MIMO-e enhancement will impact the RRM requirement and correspondingly impact the multi-RX chain requirement. If we would like to cover all the Rel-18 enhancement than we might need to wait until the Rel-18 MIMO-e completed. Also as the observation 1 and 2, we can see the baseline is still no larger than CP and the larger than CP is an optional capability. We see no need to deny the WID progress just because of an not fully defined optional capability. In this case, for Rel-18 multi-RX WID, it is proposed to still use the no larger than CP as the baseline assumption to derive requirements. After these baseline requirement is defined, if we still have enough time and the optional capability is well defined and fully discussed in Rel-18 MIMO-e WID, we can see if introducing the larger than CP requirement is feasible.</w:t>
      </w:r>
    </w:p>
    <w:p w14:paraId="7EFE5E12" w14:textId="4877EC28" w:rsidR="008A4CE0" w:rsidRPr="008A4CE0" w:rsidRDefault="008A4CE0" w:rsidP="004D6EDF">
      <w:pPr>
        <w:rPr>
          <w:rFonts w:eastAsiaTheme="minorEastAsia"/>
          <w:b/>
          <w:lang w:eastAsia="zh-CN"/>
        </w:rPr>
      </w:pPr>
      <w:r w:rsidRPr="008A4CE0">
        <w:rPr>
          <w:rFonts w:eastAsiaTheme="minorEastAsia"/>
          <w:b/>
          <w:lang w:eastAsia="zh-CN"/>
        </w:rPr>
        <w:lastRenderedPageBreak/>
        <w:t>Proposal 1: It is proposed to still use the no larger than CP as the baseline assumption to derive requirements in for Rel-18 multi-RX WID.</w:t>
      </w:r>
    </w:p>
    <w:p w14:paraId="2675185D" w14:textId="000E1C58" w:rsidR="008A4CE0" w:rsidRPr="008A4CE0" w:rsidRDefault="008A4CE0" w:rsidP="004D6EDF">
      <w:pPr>
        <w:rPr>
          <w:rFonts w:eastAsiaTheme="minorEastAsia"/>
          <w:b/>
          <w:lang w:eastAsia="zh-CN"/>
        </w:rPr>
      </w:pPr>
      <w:r w:rsidRPr="008A4CE0">
        <w:rPr>
          <w:rFonts w:eastAsiaTheme="minorEastAsia"/>
          <w:b/>
          <w:lang w:eastAsia="zh-CN"/>
        </w:rPr>
        <w:t xml:space="preserve">Proposal 2: </w:t>
      </w:r>
      <w:r>
        <w:rPr>
          <w:rFonts w:eastAsiaTheme="minorEastAsia"/>
          <w:b/>
          <w:lang w:eastAsia="zh-CN"/>
        </w:rPr>
        <w:t>Further check the larger than CP requirement after the baseline requirement is defined and the capability is well defined.</w:t>
      </w:r>
    </w:p>
    <w:p w14:paraId="00F2A457" w14:textId="15E769CF" w:rsidR="003B7FF4" w:rsidRDefault="003B7FF4" w:rsidP="003B7FF4">
      <w:pPr>
        <w:pStyle w:val="1"/>
        <w:ind w:left="0" w:firstLine="0"/>
      </w:pPr>
      <w:r>
        <w:t>3</w:t>
      </w:r>
      <w:r w:rsidRPr="00336A0F">
        <w:tab/>
      </w:r>
      <w:r w:rsidR="003F02D9">
        <w:t>Conclusions</w:t>
      </w:r>
    </w:p>
    <w:p w14:paraId="77CB8971" w14:textId="42F1418D"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5E5177">
        <w:rPr>
          <w:rFonts w:eastAsiaTheme="minorEastAsia"/>
          <w:lang w:eastAsia="zh-CN"/>
        </w:rPr>
        <w:t>RTD issue for multi-RX chain</w:t>
      </w:r>
      <w:r>
        <w:rPr>
          <w:rFonts w:eastAsiaTheme="minorEastAsia"/>
          <w:lang w:eastAsia="zh-CN"/>
        </w:rPr>
        <w:t>, the observations and proposals are captured as below:</w:t>
      </w:r>
    </w:p>
    <w:p w14:paraId="4419E8CD" w14:textId="77777777" w:rsidR="008A4CE0" w:rsidRPr="008A4CE0" w:rsidRDefault="008A4CE0" w:rsidP="008A4CE0">
      <w:pPr>
        <w:rPr>
          <w:rFonts w:eastAsiaTheme="minorEastAsia"/>
          <w:b/>
          <w:lang w:eastAsia="zh-CN"/>
        </w:rPr>
      </w:pPr>
      <w:r w:rsidRPr="008A4CE0">
        <w:rPr>
          <w:rFonts w:eastAsiaTheme="minorEastAsia"/>
          <w:b/>
          <w:lang w:eastAsia="zh-CN"/>
        </w:rPr>
        <w:t>Observation 1: No larger than CP is still the baseline assumption.</w:t>
      </w:r>
    </w:p>
    <w:p w14:paraId="3104CFD3" w14:textId="77777777" w:rsidR="008A4CE0" w:rsidRPr="008A4CE0" w:rsidRDefault="008A4CE0" w:rsidP="008A4CE0">
      <w:pPr>
        <w:rPr>
          <w:rFonts w:eastAsiaTheme="minorEastAsia"/>
          <w:b/>
          <w:lang w:eastAsia="zh-CN"/>
        </w:rPr>
      </w:pPr>
      <w:r w:rsidRPr="008A4CE0">
        <w:rPr>
          <w:rFonts w:eastAsiaTheme="minorEastAsia"/>
          <w:b/>
          <w:lang w:eastAsia="zh-CN"/>
        </w:rPr>
        <w:t>Observation 2: The larger the CP is currently an optional UE capability.</w:t>
      </w:r>
    </w:p>
    <w:p w14:paraId="20A592D8" w14:textId="77777777" w:rsidR="008A4CE0" w:rsidRPr="008A4CE0" w:rsidRDefault="008A4CE0" w:rsidP="008A4CE0">
      <w:pPr>
        <w:rPr>
          <w:rFonts w:eastAsiaTheme="minorEastAsia"/>
          <w:b/>
          <w:lang w:eastAsia="zh-CN"/>
        </w:rPr>
      </w:pPr>
      <w:r w:rsidRPr="008A4CE0">
        <w:rPr>
          <w:rFonts w:eastAsiaTheme="minorEastAsia"/>
          <w:b/>
          <w:lang w:eastAsia="zh-CN"/>
        </w:rPr>
        <w:t>Observation 3: The Rel-18 MIMO-e WID is discussing this issue.</w:t>
      </w:r>
    </w:p>
    <w:p w14:paraId="6B2AF259" w14:textId="77777777" w:rsidR="008A4CE0" w:rsidRPr="008A4CE0" w:rsidRDefault="008A4CE0" w:rsidP="008A4CE0">
      <w:pPr>
        <w:rPr>
          <w:rFonts w:eastAsiaTheme="minorEastAsia"/>
          <w:b/>
          <w:lang w:eastAsia="zh-CN"/>
        </w:rPr>
      </w:pPr>
      <w:r w:rsidRPr="008A4CE0">
        <w:rPr>
          <w:rFonts w:eastAsiaTheme="minorEastAsia"/>
          <w:b/>
          <w:lang w:eastAsia="zh-CN"/>
        </w:rPr>
        <w:t>Proposal 1: It is proposed to still use the no larger than CP as the baseline assumption to derive requirements in for Rel-18 multi-RX WID.</w:t>
      </w:r>
    </w:p>
    <w:p w14:paraId="69A03A3D" w14:textId="77777777" w:rsidR="008A4CE0" w:rsidRPr="008A4CE0" w:rsidRDefault="008A4CE0" w:rsidP="008A4CE0">
      <w:pPr>
        <w:rPr>
          <w:rFonts w:eastAsiaTheme="minorEastAsia"/>
          <w:b/>
          <w:lang w:eastAsia="zh-CN"/>
        </w:rPr>
      </w:pPr>
      <w:r w:rsidRPr="008A4CE0">
        <w:rPr>
          <w:rFonts w:eastAsiaTheme="minorEastAsia"/>
          <w:b/>
          <w:lang w:eastAsia="zh-CN"/>
        </w:rPr>
        <w:t xml:space="preserve">Proposal 2: </w:t>
      </w:r>
      <w:r>
        <w:rPr>
          <w:rFonts w:eastAsiaTheme="minorEastAsia"/>
          <w:b/>
          <w:lang w:eastAsia="zh-CN"/>
        </w:rPr>
        <w:t>Further check the larger than CP requirement after the baseline requirement is defined and the capability is well defined.</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3D4A5756" w:rsidR="00C85D48" w:rsidRDefault="00B46FE8" w:rsidP="00D066E1">
      <w:pPr>
        <w:textAlignment w:val="auto"/>
        <w:rPr>
          <w:rFonts w:eastAsiaTheme="minorEastAsia" w:cs="Calibri"/>
          <w:sz w:val="22"/>
          <w:szCs w:val="22"/>
          <w:lang w:val="en-US" w:eastAsia="zh-CN"/>
        </w:rPr>
      </w:pPr>
      <w:bookmarkStart w:id="4"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4"/>
      <w:r w:rsidR="00524A17" w:rsidRPr="00524A17">
        <w:rPr>
          <w:rFonts w:eastAsiaTheme="minorEastAsia" w:cs="Calibri"/>
          <w:sz w:val="22"/>
          <w:szCs w:val="22"/>
          <w:lang w:val="en-US" w:eastAsia="zh-CN"/>
        </w:rPr>
        <w:t>R4-2220742</w:t>
      </w:r>
      <w:r w:rsidR="005B0A1B">
        <w:rPr>
          <w:rFonts w:eastAsiaTheme="minorEastAsia" w:cs="Calibri"/>
          <w:sz w:val="22"/>
          <w:szCs w:val="22"/>
          <w:lang w:val="en-US" w:eastAsia="zh-CN"/>
        </w:rPr>
        <w:tab/>
      </w:r>
      <w:r w:rsidR="00D066E1">
        <w:rPr>
          <w:rFonts w:eastAsiaTheme="minorEastAsia" w:cs="Calibri"/>
          <w:sz w:val="22"/>
          <w:szCs w:val="22"/>
          <w:lang w:val="en-US" w:eastAsia="zh-CN"/>
        </w:rPr>
        <w:tab/>
      </w:r>
      <w:r w:rsidR="00524A17" w:rsidRPr="00524A17">
        <w:rPr>
          <w:rFonts w:eastAsiaTheme="minorEastAsia" w:cs="Calibri"/>
          <w:sz w:val="22"/>
          <w:szCs w:val="22"/>
          <w:lang w:val="en-US" w:eastAsia="zh-CN"/>
        </w:rPr>
        <w:t>WF on NR FR2 multi-Rx chain DL reception – Part 1</w:t>
      </w:r>
      <w:r w:rsidR="00524A17">
        <w:rPr>
          <w:rFonts w:eastAsiaTheme="minorEastAsia" w:cs="Calibri"/>
          <w:sz w:val="22"/>
          <w:szCs w:val="22"/>
          <w:lang w:val="en-US" w:eastAsia="zh-CN"/>
        </w:rPr>
        <w:t>, VIVO</w:t>
      </w:r>
    </w:p>
    <w:p w14:paraId="7CCE7FA1" w14:textId="40FAB2DB" w:rsidR="00524A17" w:rsidRDefault="00524A17" w:rsidP="00D066E1">
      <w:pPr>
        <w:textAlignment w:val="auto"/>
        <w:rPr>
          <w:rFonts w:eastAsiaTheme="minorEastAsia" w:cs="Calibri"/>
          <w:sz w:val="22"/>
          <w:szCs w:val="22"/>
          <w:lang w:val="en-US" w:eastAsia="zh-CN"/>
        </w:rPr>
      </w:pPr>
      <w:r>
        <w:rPr>
          <w:rFonts w:eastAsiaTheme="minorEastAsia" w:cs="Calibri"/>
          <w:sz w:val="22"/>
          <w:szCs w:val="22"/>
          <w:lang w:val="en-US" w:eastAsia="zh-CN"/>
        </w:rPr>
        <w:t xml:space="preserve">[2] </w:t>
      </w:r>
      <w:r w:rsidRPr="00524A17">
        <w:rPr>
          <w:rFonts w:eastAsiaTheme="minorEastAsia" w:cs="Calibri"/>
          <w:sz w:val="22"/>
          <w:szCs w:val="22"/>
          <w:lang w:val="en-US" w:eastAsia="zh-CN"/>
        </w:rPr>
        <w:t>R4-2220061</w:t>
      </w:r>
      <w:r>
        <w:rPr>
          <w:rFonts w:eastAsiaTheme="minorEastAsia" w:cs="Calibri"/>
          <w:sz w:val="22"/>
          <w:szCs w:val="22"/>
          <w:lang w:val="en-US" w:eastAsia="zh-CN"/>
        </w:rPr>
        <w:tab/>
      </w:r>
      <w:r>
        <w:rPr>
          <w:rFonts w:eastAsiaTheme="minorEastAsia" w:cs="Calibri"/>
          <w:sz w:val="22"/>
          <w:szCs w:val="22"/>
          <w:lang w:val="en-US" w:eastAsia="zh-CN"/>
        </w:rPr>
        <w:tab/>
      </w:r>
      <w:r w:rsidRPr="00524A17">
        <w:rPr>
          <w:rFonts w:eastAsiaTheme="minorEastAsia" w:cs="Calibri"/>
          <w:sz w:val="22"/>
          <w:szCs w:val="22"/>
          <w:lang w:val="en-US" w:eastAsia="zh-CN"/>
        </w:rPr>
        <w:t>Topic summary for [105][215] FR2_multiRx_RRM_part1</w:t>
      </w:r>
      <w:r>
        <w:rPr>
          <w:rFonts w:eastAsiaTheme="minorEastAsia" w:cs="Calibri"/>
          <w:sz w:val="22"/>
          <w:szCs w:val="22"/>
          <w:lang w:val="en-US" w:eastAsia="zh-CN"/>
        </w:rPr>
        <w:t>, VIVO</w:t>
      </w:r>
    </w:p>
    <w:p w14:paraId="6CAC4F7A" w14:textId="190EF73F" w:rsidR="00B35318" w:rsidRPr="00524A17" w:rsidRDefault="00B35318" w:rsidP="00D066E1">
      <w:pPr>
        <w:textAlignment w:val="auto"/>
        <w:rPr>
          <w:rFonts w:eastAsiaTheme="minorEastAsia" w:cs="Calibri"/>
          <w:sz w:val="22"/>
          <w:szCs w:val="22"/>
          <w:lang w:eastAsia="zh-CN"/>
        </w:rPr>
      </w:pPr>
      <w:r>
        <w:rPr>
          <w:rFonts w:eastAsiaTheme="minorEastAsia" w:cs="Calibri"/>
          <w:sz w:val="22"/>
          <w:szCs w:val="22"/>
          <w:lang w:val="en-US" w:eastAsia="zh-CN"/>
        </w:rPr>
        <w:t xml:space="preserve">[3] </w:t>
      </w:r>
      <w:r w:rsidRPr="00B35318">
        <w:rPr>
          <w:rFonts w:eastAsiaTheme="minorEastAsia" w:cs="Calibri"/>
          <w:sz w:val="22"/>
          <w:szCs w:val="22"/>
          <w:lang w:val="en-US" w:eastAsia="zh-CN"/>
        </w:rPr>
        <w:t>R1-2210304</w:t>
      </w:r>
      <w:r>
        <w:rPr>
          <w:rFonts w:eastAsiaTheme="minorEastAsia" w:cs="Calibri"/>
          <w:sz w:val="22"/>
          <w:szCs w:val="22"/>
          <w:lang w:val="en-US" w:eastAsia="zh-CN"/>
        </w:rPr>
        <w:tab/>
      </w:r>
      <w:r w:rsidRPr="00B35318">
        <w:rPr>
          <w:rFonts w:eastAsiaTheme="minorEastAsia" w:cs="Calibri"/>
          <w:sz w:val="22"/>
          <w:szCs w:val="22"/>
          <w:lang w:val="en-US" w:eastAsia="zh-CN"/>
        </w:rPr>
        <w:tab/>
        <w:t>Moderator Summary #1 on Two TAs for multi-DCI</w:t>
      </w:r>
      <w:r w:rsidRPr="00B35318">
        <w:rPr>
          <w:rFonts w:eastAsiaTheme="minorEastAsia" w:cs="Calibri"/>
          <w:sz w:val="22"/>
          <w:szCs w:val="22"/>
          <w:lang w:val="en-US" w:eastAsia="zh-CN"/>
        </w:rPr>
        <w:tab/>
        <w:t>Moderator (Ericsson)</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DBA5F" w14:textId="77777777" w:rsidR="00820DF6" w:rsidRDefault="00820DF6">
      <w:r>
        <w:separator/>
      </w:r>
    </w:p>
  </w:endnote>
  <w:endnote w:type="continuationSeparator" w:id="0">
    <w:p w14:paraId="4058776B" w14:textId="77777777" w:rsidR="00820DF6" w:rsidRDefault="0082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1F87E" w14:textId="77777777" w:rsidR="00820DF6" w:rsidRDefault="00820DF6">
      <w:r>
        <w:separator/>
      </w:r>
    </w:p>
  </w:footnote>
  <w:footnote w:type="continuationSeparator" w:id="0">
    <w:p w14:paraId="3639484D" w14:textId="77777777" w:rsidR="00820DF6" w:rsidRDefault="00820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3A0"/>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5D1F"/>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4A17"/>
    <w:rsid w:val="0052501E"/>
    <w:rsid w:val="005255EE"/>
    <w:rsid w:val="00525C92"/>
    <w:rsid w:val="00525F4E"/>
    <w:rsid w:val="005266D3"/>
    <w:rsid w:val="00526D44"/>
    <w:rsid w:val="0052702D"/>
    <w:rsid w:val="005270F4"/>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66D"/>
    <w:rsid w:val="005D67C5"/>
    <w:rsid w:val="005D6A2B"/>
    <w:rsid w:val="005E0145"/>
    <w:rsid w:val="005E071A"/>
    <w:rsid w:val="005E12A3"/>
    <w:rsid w:val="005E1F44"/>
    <w:rsid w:val="005E3B7C"/>
    <w:rsid w:val="005E4424"/>
    <w:rsid w:val="005E5177"/>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5143"/>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59E7"/>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0DF6"/>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4CE0"/>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3A22"/>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318"/>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039"/>
    <w:rsid w:val="00C50CF7"/>
    <w:rsid w:val="00C51251"/>
    <w:rsid w:val="00C520BB"/>
    <w:rsid w:val="00C52398"/>
    <w:rsid w:val="00C525E6"/>
    <w:rsid w:val="00C53338"/>
    <w:rsid w:val="00C53C68"/>
    <w:rsid w:val="00C55F45"/>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2"/>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6D6"/>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2771E"/>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23A"/>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列表段落,목록단락,列"/>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0CF4D09C-7678-477A-B752-311DA85D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20</cp:revision>
  <cp:lastPrinted>2019-08-07T05:09:00Z</cp:lastPrinted>
  <dcterms:created xsi:type="dcterms:W3CDTF">2023-02-06T11:49:00Z</dcterms:created>
  <dcterms:modified xsi:type="dcterms:W3CDTF">2023-02-17T13:00:00Z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